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C13FE6" w:rsidRDefault="00E14499">
      <w:pPr>
        <w:widowControl w:val="0"/>
        <w:spacing w:line="360" w:lineRule="auto"/>
        <w:jc w:val="center"/>
        <w:rPr>
          <w:rFonts w:ascii="Cambria" w:eastAsia="Cambria" w:hAnsi="Cambria" w:cs="Cambria"/>
          <w:sz w:val="24"/>
          <w:szCs w:val="24"/>
        </w:rPr>
      </w:pPr>
      <w:r>
        <w:rPr>
          <w:rFonts w:ascii="Cambria" w:eastAsia="Cambria" w:hAnsi="Cambria" w:cs="Cambria"/>
          <w:sz w:val="24"/>
          <w:szCs w:val="24"/>
        </w:rPr>
        <w:t>Health Rights and Access in Latin America</w:t>
      </w:r>
    </w:p>
    <w:p w14:paraId="00000002" w14:textId="77777777" w:rsidR="00C13FE6" w:rsidRDefault="00E14499">
      <w:pPr>
        <w:spacing w:line="360" w:lineRule="auto"/>
        <w:jc w:val="center"/>
        <w:rPr>
          <w:rFonts w:ascii="Cambria" w:eastAsia="Cambria" w:hAnsi="Cambria" w:cs="Cambria"/>
          <w:vertAlign w:val="superscript"/>
        </w:rPr>
      </w:pPr>
      <w:proofErr w:type="spellStart"/>
      <w:r>
        <w:rPr>
          <w:rFonts w:ascii="Cambria" w:eastAsia="Cambria" w:hAnsi="Cambria" w:cs="Cambria"/>
        </w:rPr>
        <w:t>Yasmina</w:t>
      </w:r>
      <w:proofErr w:type="spellEnd"/>
      <w:r>
        <w:rPr>
          <w:rFonts w:ascii="Cambria" w:eastAsia="Cambria" w:hAnsi="Cambria" w:cs="Cambria"/>
        </w:rPr>
        <w:t xml:space="preserve"> </w:t>
      </w:r>
      <w:proofErr w:type="spellStart"/>
      <w:r>
        <w:rPr>
          <w:rFonts w:ascii="Cambria" w:eastAsia="Cambria" w:hAnsi="Cambria" w:cs="Cambria"/>
        </w:rPr>
        <w:t>Haddad</w:t>
      </w:r>
      <w:r>
        <w:rPr>
          <w:rFonts w:ascii="Cambria" w:eastAsia="Cambria" w:hAnsi="Cambria" w:cs="Cambria"/>
          <w:vertAlign w:val="superscript"/>
        </w:rPr>
        <w:t>a</w:t>
      </w:r>
      <w:proofErr w:type="spellEnd"/>
      <w:r>
        <w:rPr>
          <w:rFonts w:ascii="Cambria" w:eastAsia="Cambria" w:hAnsi="Cambria" w:cs="Cambria"/>
        </w:rPr>
        <w:t xml:space="preserve">, Harriett </w:t>
      </w:r>
      <w:proofErr w:type="spellStart"/>
      <w:r>
        <w:rPr>
          <w:rFonts w:ascii="Cambria" w:eastAsia="Cambria" w:hAnsi="Cambria" w:cs="Cambria"/>
        </w:rPr>
        <w:t>Myers</w:t>
      </w:r>
      <w:r>
        <w:rPr>
          <w:rFonts w:ascii="Cambria" w:eastAsia="Cambria" w:hAnsi="Cambria" w:cs="Cambria"/>
          <w:vertAlign w:val="superscript"/>
        </w:rPr>
        <w:t>b</w:t>
      </w:r>
      <w:proofErr w:type="spellEnd"/>
    </w:p>
    <w:p w14:paraId="00000003" w14:textId="77777777" w:rsidR="00C13FE6" w:rsidRDefault="00E14499">
      <w:pPr>
        <w:spacing w:line="360" w:lineRule="auto"/>
        <w:jc w:val="center"/>
        <w:rPr>
          <w:rFonts w:ascii="Cambria" w:eastAsia="Cambria" w:hAnsi="Cambria" w:cs="Cambria"/>
          <w:sz w:val="20"/>
          <w:szCs w:val="20"/>
        </w:rPr>
      </w:pPr>
      <w:proofErr w:type="spellStart"/>
      <w:r>
        <w:rPr>
          <w:rFonts w:ascii="Cambria" w:eastAsia="Cambria" w:hAnsi="Cambria" w:cs="Cambria"/>
          <w:sz w:val="20"/>
          <w:szCs w:val="20"/>
          <w:vertAlign w:val="superscript"/>
        </w:rPr>
        <w:t>a</w:t>
      </w:r>
      <w:r>
        <w:rPr>
          <w:rFonts w:ascii="Cambria" w:eastAsia="Cambria" w:hAnsi="Cambria" w:cs="Cambria"/>
          <w:sz w:val="20"/>
          <w:szCs w:val="20"/>
        </w:rPr>
        <w:t>Peabody</w:t>
      </w:r>
      <w:proofErr w:type="spellEnd"/>
      <w:r>
        <w:rPr>
          <w:rFonts w:ascii="Cambria" w:eastAsia="Cambria" w:hAnsi="Cambria" w:cs="Cambria"/>
          <w:sz w:val="20"/>
          <w:szCs w:val="20"/>
        </w:rPr>
        <w:t xml:space="preserve"> College - Vanderbilt University, </w:t>
      </w:r>
      <w:proofErr w:type="spellStart"/>
      <w:r>
        <w:rPr>
          <w:rFonts w:ascii="Cambria" w:eastAsia="Cambria" w:hAnsi="Cambria" w:cs="Cambria"/>
          <w:sz w:val="20"/>
          <w:szCs w:val="20"/>
          <w:vertAlign w:val="superscript"/>
        </w:rPr>
        <w:t>b</w:t>
      </w:r>
      <w:r>
        <w:rPr>
          <w:rFonts w:ascii="Cambria" w:eastAsia="Cambria" w:hAnsi="Cambria" w:cs="Cambria"/>
          <w:sz w:val="20"/>
          <w:szCs w:val="20"/>
        </w:rPr>
        <w:t>Vanderbilt</w:t>
      </w:r>
      <w:proofErr w:type="spellEnd"/>
      <w:r>
        <w:rPr>
          <w:rFonts w:ascii="Cambria" w:eastAsia="Cambria" w:hAnsi="Cambria" w:cs="Cambria"/>
          <w:sz w:val="20"/>
          <w:szCs w:val="20"/>
        </w:rPr>
        <w:t xml:space="preserve"> University School of Medicine</w:t>
      </w:r>
    </w:p>
    <w:p w14:paraId="00000004" w14:textId="77777777" w:rsidR="00C13FE6" w:rsidRDefault="00C13FE6">
      <w:pPr>
        <w:spacing w:line="360" w:lineRule="auto"/>
        <w:rPr>
          <w:rFonts w:ascii="Cambria" w:eastAsia="Cambria" w:hAnsi="Cambria" w:cs="Cambria"/>
        </w:rPr>
      </w:pPr>
    </w:p>
    <w:p w14:paraId="00000005" w14:textId="77777777" w:rsidR="00C13FE6" w:rsidRDefault="00E14499">
      <w:pPr>
        <w:spacing w:line="360" w:lineRule="auto"/>
        <w:rPr>
          <w:rFonts w:ascii="Cambria" w:eastAsia="Cambria" w:hAnsi="Cambria" w:cs="Cambria"/>
          <w:b/>
          <w:highlight w:val="white"/>
        </w:rPr>
      </w:pPr>
      <w:r>
        <w:rPr>
          <w:rFonts w:ascii="Cambria" w:eastAsia="Cambria" w:hAnsi="Cambria" w:cs="Cambria"/>
          <w:b/>
          <w:highlight w:val="white"/>
        </w:rPr>
        <w:t>Background</w:t>
      </w:r>
      <w:bookmarkStart w:id="0" w:name="_GoBack"/>
      <w:bookmarkEnd w:id="0"/>
    </w:p>
    <w:p w14:paraId="00000006" w14:textId="77777777" w:rsidR="00C13FE6" w:rsidRDefault="00E14499">
      <w:pPr>
        <w:spacing w:line="360" w:lineRule="auto"/>
        <w:rPr>
          <w:rFonts w:ascii="Cambria" w:eastAsia="Cambria" w:hAnsi="Cambria" w:cs="Cambria"/>
          <w:highlight w:val="white"/>
        </w:rPr>
      </w:pPr>
      <w:r>
        <w:rPr>
          <w:rFonts w:ascii="Cambria" w:eastAsia="Cambria" w:hAnsi="Cambria" w:cs="Cambria"/>
          <w:highlight w:val="white"/>
        </w:rPr>
        <w:t>Constitutional rights to health can only improve health for all if the rights are being enforced. For a citizen to truly benefit from the constitutional right of health, their country’s labor policies should align so that citizens are given the flexibility</w:t>
      </w:r>
      <w:r>
        <w:rPr>
          <w:rFonts w:ascii="Cambria" w:eastAsia="Cambria" w:hAnsi="Cambria" w:cs="Cambria"/>
          <w:highlight w:val="white"/>
        </w:rPr>
        <w:t xml:space="preserve"> in their work lives to care for the health and well-being of themselves and their families. Without this alignment, citizens are not being afforded the right to health that their constitution promises. The objective of this study was to determine </w:t>
      </w:r>
      <w:r>
        <w:rPr>
          <w:rFonts w:ascii="Cambria" w:eastAsia="Cambria" w:hAnsi="Cambria" w:cs="Cambria"/>
        </w:rPr>
        <w:t>what rol</w:t>
      </w:r>
      <w:r>
        <w:rPr>
          <w:rFonts w:ascii="Cambria" w:eastAsia="Cambria" w:hAnsi="Cambria" w:cs="Cambria"/>
        </w:rPr>
        <w:t>e constitutional guarantees and leave policies play in health quality in Latin American countries.</w:t>
      </w:r>
    </w:p>
    <w:p w14:paraId="00000007" w14:textId="77777777" w:rsidR="00C13FE6" w:rsidRDefault="00C13FE6">
      <w:pPr>
        <w:spacing w:line="360" w:lineRule="auto"/>
        <w:rPr>
          <w:rFonts w:ascii="Cambria" w:eastAsia="Cambria" w:hAnsi="Cambria" w:cs="Cambria"/>
          <w:highlight w:val="white"/>
        </w:rPr>
      </w:pPr>
    </w:p>
    <w:p w14:paraId="00000008" w14:textId="77777777" w:rsidR="00C13FE6" w:rsidRDefault="00E14499">
      <w:pPr>
        <w:spacing w:line="360" w:lineRule="auto"/>
        <w:rPr>
          <w:rFonts w:ascii="Cambria" w:eastAsia="Cambria" w:hAnsi="Cambria" w:cs="Cambria"/>
          <w:b/>
          <w:highlight w:val="white"/>
        </w:rPr>
      </w:pPr>
      <w:r>
        <w:rPr>
          <w:rFonts w:ascii="Cambria" w:eastAsia="Cambria" w:hAnsi="Cambria" w:cs="Cambria"/>
          <w:b/>
          <w:highlight w:val="white"/>
        </w:rPr>
        <w:t>Methods</w:t>
      </w:r>
    </w:p>
    <w:p w14:paraId="00000009" w14:textId="77777777" w:rsidR="00C13FE6" w:rsidRDefault="00E14499">
      <w:pPr>
        <w:spacing w:line="360" w:lineRule="auto"/>
        <w:rPr>
          <w:rFonts w:ascii="Cambria" w:eastAsia="Cambria" w:hAnsi="Cambria" w:cs="Cambria"/>
          <w:b/>
          <w:highlight w:val="white"/>
        </w:rPr>
      </w:pPr>
      <w:r>
        <w:rPr>
          <w:rFonts w:ascii="Cambria" w:eastAsia="Cambria" w:hAnsi="Cambria" w:cs="Cambria"/>
        </w:rPr>
        <w:t>World Policy Analysis Center Data was used to determine the labor policies and constitutional rights in Latin America. Constitutional rights were co</w:t>
      </w:r>
      <w:r>
        <w:rPr>
          <w:rFonts w:ascii="Cambria" w:eastAsia="Cambria" w:hAnsi="Cambria" w:cs="Cambria"/>
        </w:rPr>
        <w:t>mpared against health policy variables for each country. Countries were categorized into “Least consistent” and “Most consistent” based on the consistencies of health policy and constitutional rights. Least consistent countries were defined as those who gu</w:t>
      </w:r>
      <w:r>
        <w:rPr>
          <w:rFonts w:ascii="Cambria" w:eastAsia="Cambria" w:hAnsi="Cambria" w:cs="Cambria"/>
        </w:rPr>
        <w:t xml:space="preserve">arantee the right to health in their constitution, but do not guarantee leave for children’s and/or family health needs. Most consistent countries were defined as those who guarantee the right to health in their </w:t>
      </w:r>
      <w:proofErr w:type="gramStart"/>
      <w:r>
        <w:rPr>
          <w:rFonts w:ascii="Cambria" w:eastAsia="Cambria" w:hAnsi="Cambria" w:cs="Cambria"/>
        </w:rPr>
        <w:t>constitution, and</w:t>
      </w:r>
      <w:proofErr w:type="gramEnd"/>
      <w:r>
        <w:rPr>
          <w:rFonts w:ascii="Cambria" w:eastAsia="Cambria" w:hAnsi="Cambria" w:cs="Cambria"/>
        </w:rPr>
        <w:t xml:space="preserve"> provide the highest level </w:t>
      </w:r>
      <w:r>
        <w:rPr>
          <w:rFonts w:ascii="Cambria" w:eastAsia="Cambria" w:hAnsi="Cambria" w:cs="Cambria"/>
        </w:rPr>
        <w:t>of leave to their citizens for the entire family’s health needs. Four case studies were performed as exploratory analyses using the Global Burden of Disease study to provide insight into the health access and quality in the region.</w:t>
      </w:r>
    </w:p>
    <w:p w14:paraId="0000000A" w14:textId="77777777" w:rsidR="00C13FE6" w:rsidRDefault="00C13FE6">
      <w:pPr>
        <w:spacing w:line="360" w:lineRule="auto"/>
        <w:rPr>
          <w:rFonts w:ascii="Cambria" w:eastAsia="Cambria" w:hAnsi="Cambria" w:cs="Cambria"/>
          <w:b/>
          <w:highlight w:val="white"/>
        </w:rPr>
      </w:pPr>
    </w:p>
    <w:p w14:paraId="0000000B" w14:textId="77777777" w:rsidR="00C13FE6" w:rsidRDefault="00E14499">
      <w:pPr>
        <w:spacing w:line="360" w:lineRule="auto"/>
        <w:rPr>
          <w:rFonts w:ascii="Cambria" w:eastAsia="Cambria" w:hAnsi="Cambria" w:cs="Cambria"/>
          <w:b/>
          <w:highlight w:val="white"/>
        </w:rPr>
      </w:pPr>
      <w:r>
        <w:rPr>
          <w:rFonts w:ascii="Cambria" w:eastAsia="Cambria" w:hAnsi="Cambria" w:cs="Cambria"/>
          <w:b/>
          <w:highlight w:val="white"/>
        </w:rPr>
        <w:t>Results</w:t>
      </w:r>
    </w:p>
    <w:p w14:paraId="0000000C" w14:textId="77777777" w:rsidR="00C13FE6" w:rsidRDefault="00E14499">
      <w:pPr>
        <w:spacing w:line="360" w:lineRule="auto"/>
        <w:rPr>
          <w:rFonts w:ascii="Cambria" w:eastAsia="Cambria" w:hAnsi="Cambria" w:cs="Cambria"/>
        </w:rPr>
      </w:pPr>
      <w:r>
        <w:rPr>
          <w:rFonts w:ascii="Cambria" w:eastAsia="Cambria" w:hAnsi="Cambria" w:cs="Cambria"/>
        </w:rPr>
        <w:t>Of the total 20</w:t>
      </w:r>
      <w:r>
        <w:rPr>
          <w:rFonts w:ascii="Cambria" w:eastAsia="Cambria" w:hAnsi="Cambria" w:cs="Cambria"/>
        </w:rPr>
        <w:t xml:space="preserve"> eligible Latin American countries, 14 guarantee the right to health in their constitutions. Only four countries do not guarantee the right to health for their citizens. Half of the region does not guarantee leave for children’s health needs, and over half</w:t>
      </w:r>
      <w:r>
        <w:rPr>
          <w:rFonts w:ascii="Cambria" w:eastAsia="Cambria" w:hAnsi="Cambria" w:cs="Cambria"/>
        </w:rPr>
        <w:t xml:space="preserve"> of the region does not guarantee leave for family’s health needs. Case studies into four Central American countries showed a high variation of policies and rights existing across countries and notably different health outcomes in each. Analyses of El Salv</w:t>
      </w:r>
      <w:r>
        <w:rPr>
          <w:rFonts w:ascii="Cambria" w:eastAsia="Cambria" w:hAnsi="Cambria" w:cs="Cambria"/>
        </w:rPr>
        <w:t xml:space="preserve">ador, the “most consistent” country, Mexico and Guatemala, the “least consistent” countries,  and Costa Rica, a country labeled “an anomaly” (because they do not have a constitutional guarantee to health, but are known to have the best health outcomes in </w:t>
      </w:r>
      <w:r>
        <w:rPr>
          <w:rFonts w:ascii="Cambria" w:eastAsia="Cambria" w:hAnsi="Cambria" w:cs="Cambria"/>
        </w:rPr>
        <w:lastRenderedPageBreak/>
        <w:t>t</w:t>
      </w:r>
      <w:r>
        <w:rPr>
          <w:rFonts w:ascii="Cambria" w:eastAsia="Cambria" w:hAnsi="Cambria" w:cs="Cambria"/>
        </w:rPr>
        <w:t xml:space="preserve">he region), revealed the degree to which constitutional guarantees and health policies can facilitate improved health outcomes and highlighted key barriers to good health outcomes that are not addressed by constitutional guarantees or labor policies. El </w:t>
      </w:r>
      <w:proofErr w:type="gramStart"/>
      <w:r>
        <w:rPr>
          <w:rFonts w:ascii="Cambria" w:eastAsia="Cambria" w:hAnsi="Cambria" w:cs="Cambria"/>
        </w:rPr>
        <w:t>Sa</w:t>
      </w:r>
      <w:r>
        <w:rPr>
          <w:rFonts w:ascii="Cambria" w:eastAsia="Cambria" w:hAnsi="Cambria" w:cs="Cambria"/>
        </w:rPr>
        <w:t>lvador,  labeled</w:t>
      </w:r>
      <w:proofErr w:type="gramEnd"/>
      <w:r>
        <w:rPr>
          <w:rFonts w:ascii="Cambria" w:eastAsia="Cambria" w:hAnsi="Cambria" w:cs="Cambria"/>
        </w:rPr>
        <w:t xml:space="preserve"> a “most consistent” country, has seen unprecedented health improvements in the last decade. However, there are still barriers to good health outcomes such as the presence of gang violence and the efficiency of health care coverage, which p</w:t>
      </w:r>
      <w:r>
        <w:rPr>
          <w:rFonts w:ascii="Cambria" w:eastAsia="Cambria" w:hAnsi="Cambria" w:cs="Cambria"/>
        </w:rPr>
        <w:t>ersist. Costa Rica’s context shows that addressing barriers to health goes beyond constitutional rights and labor policies.</w:t>
      </w:r>
    </w:p>
    <w:p w14:paraId="0000000D" w14:textId="77777777" w:rsidR="00C13FE6" w:rsidRDefault="00C13FE6">
      <w:pPr>
        <w:spacing w:line="360" w:lineRule="auto"/>
        <w:rPr>
          <w:rFonts w:ascii="Cambria" w:eastAsia="Cambria" w:hAnsi="Cambria" w:cs="Cambria"/>
          <w:b/>
          <w:highlight w:val="white"/>
        </w:rPr>
      </w:pPr>
    </w:p>
    <w:p w14:paraId="0000000E" w14:textId="77777777" w:rsidR="00C13FE6" w:rsidRDefault="00E14499">
      <w:pPr>
        <w:spacing w:line="360" w:lineRule="auto"/>
        <w:rPr>
          <w:rFonts w:ascii="Cambria" w:eastAsia="Cambria" w:hAnsi="Cambria" w:cs="Cambria"/>
          <w:b/>
          <w:highlight w:val="white"/>
        </w:rPr>
      </w:pPr>
      <w:r>
        <w:rPr>
          <w:rFonts w:ascii="Cambria" w:eastAsia="Cambria" w:hAnsi="Cambria" w:cs="Cambria"/>
          <w:b/>
          <w:highlight w:val="white"/>
        </w:rPr>
        <w:t>Conclusion</w:t>
      </w:r>
    </w:p>
    <w:p w14:paraId="0000000F" w14:textId="77777777" w:rsidR="00C13FE6" w:rsidRDefault="00E14499">
      <w:pPr>
        <w:spacing w:line="360" w:lineRule="auto"/>
        <w:rPr>
          <w:rFonts w:ascii="Cambria" w:eastAsia="Cambria" w:hAnsi="Cambria" w:cs="Cambria"/>
        </w:rPr>
      </w:pPr>
      <w:r>
        <w:rPr>
          <w:rFonts w:ascii="Cambria" w:eastAsia="Cambria" w:hAnsi="Cambria" w:cs="Cambria"/>
        </w:rPr>
        <w:t>Guaranteeing the right to health in a constitution should be taken seriously and be accompanied by the appropriate labor</w:t>
      </w:r>
      <w:r>
        <w:rPr>
          <w:rFonts w:ascii="Cambria" w:eastAsia="Cambria" w:hAnsi="Cambria" w:cs="Cambria"/>
        </w:rPr>
        <w:t xml:space="preserve"> policies. A critical discussion of the efficacy of constitutional guarantees and leave policies would shed light on identifying interventions and policies to improve health outcomes in this region.</w:t>
      </w:r>
    </w:p>
    <w:sectPr w:rsidR="00C13FE6">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altName w:val="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3FE6"/>
    <w:rsid w:val="00C02402"/>
    <w:rsid w:val="00C13FE6"/>
    <w:rsid w:val="00E144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docId w15:val="{B6CD20FE-8B80-C548-A8C3-45C4E1D960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509</Words>
  <Characters>2933</Characters>
  <Application>Microsoft Office Word</Application>
  <DocSecurity>0</DocSecurity>
  <Lines>77</Lines>
  <Paragraphs>33</Paragraphs>
  <ScaleCrop>false</ScaleCrop>
  <Company/>
  <LinksUpToDate>false</LinksUpToDate>
  <CharactersWithSpaces>3409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Myers, Harriett</cp:lastModifiedBy>
  <cp:revision>3</cp:revision>
  <dcterms:created xsi:type="dcterms:W3CDTF">2020-04-04T23:22:00Z</dcterms:created>
  <dcterms:modified xsi:type="dcterms:W3CDTF">2020-04-04T23:22:00Z</dcterms:modified>
</cp:coreProperties>
</file>