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D35E8" w14:textId="77777777" w:rsidR="00CA63C6" w:rsidRPr="00BE6A55" w:rsidRDefault="00BE6A55" w:rsidP="00883D54">
      <w:pPr>
        <w:spacing w:line="276" w:lineRule="auto"/>
        <w:jc w:val="center"/>
        <w:rPr>
          <w:b/>
        </w:rPr>
      </w:pPr>
      <w:r w:rsidRPr="00BE6A55">
        <w:rPr>
          <w:b/>
        </w:rPr>
        <w:t>Barriers to Ophthalmic Health</w:t>
      </w:r>
      <w:r w:rsidR="00765D3E" w:rsidRPr="00BE6A55">
        <w:rPr>
          <w:b/>
        </w:rPr>
        <w:t xml:space="preserve"> in Kenya</w:t>
      </w:r>
    </w:p>
    <w:p w14:paraId="3779D202" w14:textId="4A1D1987" w:rsidR="00765D3E" w:rsidRDefault="00765D3E" w:rsidP="00883D54">
      <w:pPr>
        <w:spacing w:line="276" w:lineRule="auto"/>
        <w:jc w:val="center"/>
      </w:pPr>
      <w:r>
        <w:t>Carolyn Ahlers, BS</w:t>
      </w:r>
    </w:p>
    <w:p w14:paraId="577A7091" w14:textId="77777777" w:rsidR="00765D3E" w:rsidRDefault="00AC1BFF" w:rsidP="00883D54">
      <w:pPr>
        <w:spacing w:line="276" w:lineRule="auto"/>
        <w:jc w:val="center"/>
      </w:pPr>
      <w:r>
        <w:t>Affiliation: Vanderbilt University School of Medicine</w:t>
      </w:r>
    </w:p>
    <w:p w14:paraId="0F3D3C5A" w14:textId="77777777" w:rsidR="00AC1BFF" w:rsidRDefault="00AC1BFF" w:rsidP="00883D54">
      <w:pPr>
        <w:spacing w:line="360" w:lineRule="auto"/>
      </w:pPr>
    </w:p>
    <w:p w14:paraId="4705B66F" w14:textId="447EAA5F" w:rsidR="00BE6A55" w:rsidRDefault="00AC1BFF" w:rsidP="00883D54">
      <w:pPr>
        <w:spacing w:line="360" w:lineRule="auto"/>
      </w:pPr>
      <w:r>
        <w:t xml:space="preserve">Introduction: </w:t>
      </w:r>
    </w:p>
    <w:p w14:paraId="41348C14" w14:textId="3D06D4C3" w:rsidR="00BE6A55" w:rsidRDefault="00AC1BFF" w:rsidP="00883D54">
      <w:pPr>
        <w:spacing w:line="360" w:lineRule="auto"/>
      </w:pPr>
      <w:r>
        <w:t xml:space="preserve">As a </w:t>
      </w:r>
      <w:r w:rsidR="00BE6A55">
        <w:t xml:space="preserve">third-year </w:t>
      </w:r>
      <w:r>
        <w:t>medical student at Vanderbilt</w:t>
      </w:r>
      <w:r w:rsidR="00B32BA3">
        <w:t xml:space="preserve"> University School of Medicine</w:t>
      </w:r>
      <w:r>
        <w:t xml:space="preserve">, I participated in a global health </w:t>
      </w:r>
      <w:r w:rsidR="00E763D5">
        <w:t>rotation</w:t>
      </w:r>
      <w:r>
        <w:t xml:space="preserve"> at Lwala Community Alliance (LCA), an NGO in Lwala, Kenya that provides healthcare to </w:t>
      </w:r>
      <w:r w:rsidR="00BE6A55">
        <w:t xml:space="preserve">the surrounding rural community. Built on a </w:t>
      </w:r>
      <w:r>
        <w:t>model of empowering the community, LCA trains community health workers, leads sessions on gender-based violence, teaches about the importance of latrine sanitation to prevent disease, provides family planning resources, and delivers outpatient and inpatient healthcare services.</w:t>
      </w:r>
      <w:r w:rsidR="00F438B9">
        <w:t xml:space="preserve"> </w:t>
      </w:r>
      <w:r w:rsidR="00BE6A55">
        <w:t xml:space="preserve">For the final essay of my </w:t>
      </w:r>
      <w:r w:rsidR="007724EF">
        <w:t xml:space="preserve">global health </w:t>
      </w:r>
      <w:r w:rsidR="00BE6A55">
        <w:t xml:space="preserve">course, I wrote about barriers to ophthalmic care in Kenya. </w:t>
      </w:r>
      <w:r w:rsidR="000A568A">
        <w:t>It is my hope that this essay raises awareness about the need for ophthalmic health in Kenya and sub-Saharan Africa</w:t>
      </w:r>
      <w:r w:rsidR="00A31455">
        <w:t xml:space="preserve"> (SAA)</w:t>
      </w:r>
      <w:r w:rsidR="000A568A">
        <w:t xml:space="preserve">. </w:t>
      </w:r>
      <w:r w:rsidR="00767FAD">
        <w:t>This topic is important, as a</w:t>
      </w:r>
      <w:r w:rsidR="00BE6A55">
        <w:t>lthough Africa is home to approximately 10% of the world’s population, it accounts for 19% of the world’s blindness.</w:t>
      </w:r>
      <w:r w:rsidR="00BE6A55">
        <w:fldChar w:fldCharType="begin" w:fldLock="1"/>
      </w:r>
      <w:r w:rsidR="00BE6A55">
        <w:instrText>ADDIN CSL_CITATION {"citationItems":[{"id":"ITEM-1","itemData":{"DOI":"10.1111/j.1444-0938.2007.00197.x","ISSN":"08164622","abstract":"Africa carries a disproportionate responsibility in terms of blindness and visual impairment. With approximately 10 per cent of the world's population, Africa has 19 per cent of the world's blindness. It is no surprise that this reality also mirrors the situation in terms of the burden of world poverty. There is an increasing recognition of the need to highlight the link between poverty, development and health care. Blindness, disabling visual impairment and the overall lack of eye-care services are too often the result of social, economic and developmental challenges of the developing world. The state of eye care in Africa stands in alarming contrast to that in the rest of the world. Poor practitioner-to-patient ratios, absence of eye-care personnel, inadequate facilities, poor state funding and a lack of educational programs are the hallmarks of eye care in Africa, with preventable and treatable conditions being the leading cause of blindness. Eye diseases causing preventable blindness are often the result of a combination of factors such as poverty, lack of education and inadequate health-care services. The challenge that Vision 2020 has set itself in Africa is enormous. Africa is not a homogenous entity, the inter- and intra-country differences in economic development, prevalence of disease, delivery infrastructure and human resources amplify the challenges of meeting eye-care needs. The successful implementation of Vision 2020 programs will be hindered without the development of a comprehensive, co-ordinated strategy that is cognisant of the differences that exist and the need for comprehensive solutions that are rooted in the economic and political realities of the continent as well as the individual countries and regions within countries. This strategy should recognise the need for economic growth that results in greater state funded eye-care services that focus on health promotion to ensure the prevention of eye disease, the development of eye clinics in hospitals and health clinics, and the training of the appropriate human resources. © 2007 Optometrists Association Australia.","author":[{"dropping-particle":"","family":"Naidoo","given":"Kovin","non-dropping-particle":"","parse-names":false,"suffix":""}],"container-title":"Clinical and Experimental Optometry","id":"ITEM-1","issue":"6","issued":{"date-parts":[["2007"]]},"page":"415-421","title":"Poverty and blindness in Africa","type":"article-journal","volume":"90"},"uris":["http://www.mendeley.com/documents/?uuid=49b9f545-d004-4b96-a665-352f9c8f60f4"]}],"mendeley":{"formattedCitation":"&lt;sup&gt;1&lt;/sup&gt;","plainTextFormattedCitation":"1","previouslyFormattedCitation":"&lt;sup&gt;1&lt;/sup&gt;"},"properties":{"noteIndex":0},"schema":"https://github.com/citation-style-language/schema/raw/master/csl-citation.json"}</w:instrText>
      </w:r>
      <w:r w:rsidR="00BE6A55">
        <w:fldChar w:fldCharType="separate"/>
      </w:r>
      <w:r w:rsidR="00BE6A55" w:rsidRPr="002839D4">
        <w:rPr>
          <w:noProof/>
          <w:vertAlign w:val="superscript"/>
        </w:rPr>
        <w:t>1</w:t>
      </w:r>
      <w:r w:rsidR="00BE6A55">
        <w:fldChar w:fldCharType="end"/>
      </w:r>
      <w:r w:rsidR="00BE6A55">
        <w:t xml:space="preserve"> </w:t>
      </w:r>
    </w:p>
    <w:p w14:paraId="17EEA73F" w14:textId="77777777" w:rsidR="00767FAD" w:rsidRDefault="00767FAD" w:rsidP="00883D54">
      <w:pPr>
        <w:spacing w:line="360" w:lineRule="auto"/>
      </w:pPr>
    </w:p>
    <w:p w14:paraId="3992D668" w14:textId="77777777" w:rsidR="00767FAD" w:rsidRDefault="00767FAD" w:rsidP="00883D54">
      <w:pPr>
        <w:spacing w:line="360" w:lineRule="auto"/>
      </w:pPr>
      <w:r>
        <w:t xml:space="preserve">Discussion: </w:t>
      </w:r>
    </w:p>
    <w:p w14:paraId="0257B5C3" w14:textId="1443F219" w:rsidR="00B32BA3" w:rsidRDefault="007724EF" w:rsidP="00883D54">
      <w:pPr>
        <w:spacing w:line="360" w:lineRule="auto"/>
      </w:pPr>
      <w:r>
        <w:t xml:space="preserve">In this essay, I explore the need for ophthalmology in Kenya by providing examples of two common ophthalmic diseases – one adult and one pediatric: diabetic retinopathy </w:t>
      </w:r>
      <w:r w:rsidR="00B32BA3">
        <w:t>and retinopathy of prematurity. I also describe</w:t>
      </w:r>
      <w:r>
        <w:t xml:space="preserve"> how financial restraints are a major barrier to eye care in the country. </w:t>
      </w:r>
      <w:r w:rsidR="00767FAD">
        <w:t>One of the major diseases that ophthalmologists treat is diabetic retinopathy. Diabetes is a major health problem in SSA, where it is the leading cause of cardiovascular disease and disability.</w:t>
      </w:r>
      <w:r w:rsidR="00F438B9">
        <w:rPr>
          <w:vertAlign w:val="superscript"/>
        </w:rPr>
        <w:t>2</w:t>
      </w:r>
      <w:r w:rsidR="00767FAD">
        <w:t xml:space="preserve"> In fact, SSA “continues to face the highest rate of mortality from diabetes in the world due to limited access to quality diabetes care.”</w:t>
      </w:r>
      <w:r w:rsidR="00F438B9">
        <w:rPr>
          <w:vertAlign w:val="superscript"/>
        </w:rPr>
        <w:t>2</w:t>
      </w:r>
      <w:r w:rsidR="00767FAD">
        <w:t xml:space="preserve"> Diabetic retinopathy is a major issue for Kenya, as the vision loss associated with diabetic retinopathy is associated with </w:t>
      </w:r>
      <w:r>
        <w:t xml:space="preserve">high </w:t>
      </w:r>
      <w:r w:rsidR="00767FAD">
        <w:t>morbidity, mortality, and healthcare costs.</w:t>
      </w:r>
      <w:r w:rsidR="00F438B9">
        <w:rPr>
          <w:vertAlign w:val="superscript"/>
        </w:rPr>
        <w:t>3</w:t>
      </w:r>
      <w:r w:rsidR="00767FAD">
        <w:t xml:space="preserve"> Screening and laser treatment are cost-effective interventions for the prevention of diabetic retinopathy in Kenya, but many Kenyans face inequities in accessing them. This is due to a multitude of reasons, including sub-optimal referral practices of diabetes providers, </w:t>
      </w:r>
      <w:r>
        <w:t xml:space="preserve">inadequate </w:t>
      </w:r>
      <w:r w:rsidR="00767FAD">
        <w:t xml:space="preserve">screening, poor integration </w:t>
      </w:r>
      <w:r>
        <w:t xml:space="preserve">and quality </w:t>
      </w:r>
      <w:r w:rsidR="00767FAD">
        <w:t>of services, and low level of awareness among patients.</w:t>
      </w:r>
      <w:r w:rsidR="00F438B9">
        <w:rPr>
          <w:vertAlign w:val="superscript"/>
        </w:rPr>
        <w:t>3</w:t>
      </w:r>
      <w:r w:rsidR="00767FAD">
        <w:t xml:space="preserve"> </w:t>
      </w:r>
    </w:p>
    <w:p w14:paraId="726EE79D" w14:textId="54325D43" w:rsidR="00C43A93" w:rsidRPr="00883D54" w:rsidRDefault="00767FAD" w:rsidP="00883D54">
      <w:pPr>
        <w:spacing w:line="360" w:lineRule="auto"/>
        <w:rPr>
          <w:rFonts w:ascii="Times New Roman" w:eastAsia="Times New Roman" w:hAnsi="Times New Roman" w:cs="Times New Roman"/>
          <w:vertAlign w:val="superscript"/>
        </w:rPr>
      </w:pPr>
      <w:r>
        <w:lastRenderedPageBreak/>
        <w:t>Another ophthalmic disease that demonstrates challenges to ocular care in the region is retinopathy of prematurity (ROP). Pre-term birth is a major risk factor for ROP, and Kenya currently experiences about 188,100 preterm births each year.</w:t>
      </w:r>
      <w:r w:rsidR="00F438B9">
        <w:rPr>
          <w:vertAlign w:val="superscript"/>
        </w:rPr>
        <w:t>4</w:t>
      </w:r>
      <w:r>
        <w:t xml:space="preserve"> </w:t>
      </w:r>
      <w:r w:rsidR="007724EF">
        <w:t>However, d</w:t>
      </w:r>
      <w:r>
        <w:t xml:space="preserve">espite the large burden of ROP in the country, only two public hospitals in Kenya screen for and treat ROP. </w:t>
      </w:r>
      <w:r w:rsidR="00B32BA3">
        <w:t xml:space="preserve">Furthermore, there are not any national guidelines in Kenya regarding screening and treatment of ROP. </w:t>
      </w:r>
      <w:r w:rsidR="007724EF">
        <w:t>The infrastructure is currently not in place in Kenya to provide advanced ophthalmic care</w:t>
      </w:r>
      <w:r w:rsidR="00B32BA3">
        <w:t xml:space="preserve"> for ROP</w:t>
      </w:r>
      <w:r w:rsidR="007724EF">
        <w:t xml:space="preserve">. </w:t>
      </w:r>
      <w:r w:rsidR="00CC63B6">
        <w:t xml:space="preserve">Finally, </w:t>
      </w:r>
      <w:r w:rsidR="009A56B9">
        <w:t>financial restraints are a major barrier to advanced ophthalmic care in Kenya, as over 35% of Kenyans live below the international poverty line (US $1.90 per day), according to the Kenya Economic Update.</w:t>
      </w:r>
      <w:r w:rsidR="00883D54">
        <w:rPr>
          <w:vertAlign w:val="superscript"/>
        </w:rPr>
        <w:t xml:space="preserve">5 </w:t>
      </w:r>
    </w:p>
    <w:p w14:paraId="4F755D1E" w14:textId="77777777" w:rsidR="00CC63B6" w:rsidRDefault="00CC63B6" w:rsidP="00883D54">
      <w:pPr>
        <w:widowControl w:val="0"/>
        <w:autoSpaceDE w:val="0"/>
        <w:autoSpaceDN w:val="0"/>
        <w:adjustRightInd w:val="0"/>
        <w:spacing w:line="360" w:lineRule="auto"/>
      </w:pPr>
    </w:p>
    <w:p w14:paraId="3BFF5F59" w14:textId="6AE16346" w:rsidR="00CC63B6" w:rsidRDefault="00CC63B6" w:rsidP="00883D54">
      <w:pPr>
        <w:widowControl w:val="0"/>
        <w:autoSpaceDE w:val="0"/>
        <w:autoSpaceDN w:val="0"/>
        <w:adjustRightInd w:val="0"/>
        <w:spacing w:line="360" w:lineRule="auto"/>
      </w:pPr>
      <w:r>
        <w:t xml:space="preserve">Conclusions: </w:t>
      </w:r>
      <w:r w:rsidR="00494260">
        <w:t xml:space="preserve"> </w:t>
      </w:r>
    </w:p>
    <w:p w14:paraId="3FD13829" w14:textId="0950CCB0" w:rsidR="00F438B9" w:rsidRDefault="00334ED3" w:rsidP="00767FAD">
      <w:pPr>
        <w:widowControl w:val="0"/>
        <w:autoSpaceDE w:val="0"/>
        <w:autoSpaceDN w:val="0"/>
        <w:adjustRightInd w:val="0"/>
        <w:spacing w:line="360" w:lineRule="auto"/>
      </w:pPr>
      <w:r>
        <w:t>Providing ocular care in Kenya would certainly not be without its challenges. However, by increasing awareness about the need for eye care and the barriers limiting care, we can work towards a future of better eye health for Kenyans. Through these efforts, the vision of many patients in Kenya and SSA can be saved.</w:t>
      </w:r>
    </w:p>
    <w:p w14:paraId="586450AA" w14:textId="77777777" w:rsidR="00F438B9" w:rsidRDefault="00F438B9" w:rsidP="00767FAD">
      <w:pPr>
        <w:widowControl w:val="0"/>
        <w:autoSpaceDE w:val="0"/>
        <w:autoSpaceDN w:val="0"/>
        <w:adjustRightInd w:val="0"/>
        <w:spacing w:line="360" w:lineRule="auto"/>
      </w:pPr>
    </w:p>
    <w:p w14:paraId="1B776672" w14:textId="77777777" w:rsidR="00F438B9" w:rsidRDefault="00F438B9" w:rsidP="00767FAD">
      <w:pPr>
        <w:widowControl w:val="0"/>
        <w:autoSpaceDE w:val="0"/>
        <w:autoSpaceDN w:val="0"/>
        <w:adjustRightInd w:val="0"/>
        <w:spacing w:line="360" w:lineRule="auto"/>
      </w:pPr>
    </w:p>
    <w:p w14:paraId="4EA1F157" w14:textId="77777777" w:rsidR="00F438B9" w:rsidRDefault="00F438B9" w:rsidP="00767FAD">
      <w:pPr>
        <w:widowControl w:val="0"/>
        <w:autoSpaceDE w:val="0"/>
        <w:autoSpaceDN w:val="0"/>
        <w:adjustRightInd w:val="0"/>
        <w:spacing w:line="360" w:lineRule="auto"/>
      </w:pPr>
    </w:p>
    <w:p w14:paraId="35B46CD9" w14:textId="77777777" w:rsidR="00F438B9" w:rsidRDefault="00F438B9" w:rsidP="00767FAD">
      <w:pPr>
        <w:widowControl w:val="0"/>
        <w:autoSpaceDE w:val="0"/>
        <w:autoSpaceDN w:val="0"/>
        <w:adjustRightInd w:val="0"/>
        <w:spacing w:line="360" w:lineRule="auto"/>
      </w:pPr>
    </w:p>
    <w:p w14:paraId="65C09D4B" w14:textId="77777777" w:rsidR="00F438B9" w:rsidRDefault="00F438B9" w:rsidP="00767FAD">
      <w:pPr>
        <w:widowControl w:val="0"/>
        <w:autoSpaceDE w:val="0"/>
        <w:autoSpaceDN w:val="0"/>
        <w:adjustRightInd w:val="0"/>
        <w:spacing w:line="360" w:lineRule="auto"/>
      </w:pPr>
    </w:p>
    <w:p w14:paraId="295F25A2" w14:textId="77777777" w:rsidR="00F438B9" w:rsidRDefault="00F438B9" w:rsidP="00767FAD">
      <w:pPr>
        <w:widowControl w:val="0"/>
        <w:autoSpaceDE w:val="0"/>
        <w:autoSpaceDN w:val="0"/>
        <w:adjustRightInd w:val="0"/>
        <w:spacing w:line="360" w:lineRule="auto"/>
      </w:pPr>
    </w:p>
    <w:p w14:paraId="42337418" w14:textId="77777777" w:rsidR="00F438B9" w:rsidRDefault="00F438B9" w:rsidP="00767FAD">
      <w:pPr>
        <w:widowControl w:val="0"/>
        <w:autoSpaceDE w:val="0"/>
        <w:autoSpaceDN w:val="0"/>
        <w:adjustRightInd w:val="0"/>
        <w:spacing w:line="360" w:lineRule="auto"/>
      </w:pPr>
    </w:p>
    <w:p w14:paraId="27BB839E" w14:textId="70C10E19" w:rsidR="000A568A" w:rsidRDefault="000A568A" w:rsidP="00767FAD">
      <w:pPr>
        <w:widowControl w:val="0"/>
        <w:autoSpaceDE w:val="0"/>
        <w:autoSpaceDN w:val="0"/>
        <w:adjustRightInd w:val="0"/>
        <w:spacing w:line="360" w:lineRule="auto"/>
      </w:pPr>
    </w:p>
    <w:p w14:paraId="3946C94C" w14:textId="6BA537F5" w:rsidR="001576C7" w:rsidRDefault="001576C7" w:rsidP="00767FAD">
      <w:pPr>
        <w:widowControl w:val="0"/>
        <w:autoSpaceDE w:val="0"/>
        <w:autoSpaceDN w:val="0"/>
        <w:adjustRightInd w:val="0"/>
        <w:spacing w:line="360" w:lineRule="auto"/>
      </w:pPr>
    </w:p>
    <w:p w14:paraId="3C60998E" w14:textId="41A666C2" w:rsidR="001576C7" w:rsidRDefault="001576C7" w:rsidP="00767FAD">
      <w:pPr>
        <w:widowControl w:val="0"/>
        <w:autoSpaceDE w:val="0"/>
        <w:autoSpaceDN w:val="0"/>
        <w:adjustRightInd w:val="0"/>
        <w:spacing w:line="360" w:lineRule="auto"/>
      </w:pPr>
    </w:p>
    <w:p w14:paraId="27C0F42C" w14:textId="77777777" w:rsidR="00334ED3" w:rsidRDefault="00334ED3" w:rsidP="00767FAD">
      <w:pPr>
        <w:widowControl w:val="0"/>
        <w:autoSpaceDE w:val="0"/>
        <w:autoSpaceDN w:val="0"/>
        <w:adjustRightInd w:val="0"/>
        <w:spacing w:line="360" w:lineRule="auto"/>
      </w:pPr>
    </w:p>
    <w:p w14:paraId="67644333" w14:textId="77777777" w:rsidR="001576C7" w:rsidRDefault="001576C7" w:rsidP="00767FAD">
      <w:pPr>
        <w:widowControl w:val="0"/>
        <w:autoSpaceDE w:val="0"/>
        <w:autoSpaceDN w:val="0"/>
        <w:adjustRightInd w:val="0"/>
        <w:spacing w:line="360" w:lineRule="auto"/>
      </w:pPr>
    </w:p>
    <w:p w14:paraId="5FB51612" w14:textId="77777777" w:rsidR="000A568A" w:rsidRDefault="000A568A" w:rsidP="00767FAD">
      <w:pPr>
        <w:widowControl w:val="0"/>
        <w:autoSpaceDE w:val="0"/>
        <w:autoSpaceDN w:val="0"/>
        <w:adjustRightInd w:val="0"/>
        <w:spacing w:line="360" w:lineRule="auto"/>
      </w:pPr>
    </w:p>
    <w:p w14:paraId="4153F83B" w14:textId="77777777" w:rsidR="00883D54" w:rsidRDefault="00883D54" w:rsidP="00883D54">
      <w:pPr>
        <w:widowControl w:val="0"/>
        <w:autoSpaceDE w:val="0"/>
        <w:autoSpaceDN w:val="0"/>
        <w:adjustRightInd w:val="0"/>
        <w:spacing w:line="360" w:lineRule="auto"/>
      </w:pPr>
    </w:p>
    <w:p w14:paraId="58802872" w14:textId="5082B483" w:rsidR="00F438B9" w:rsidRPr="00883D54" w:rsidRDefault="00F438B9" w:rsidP="00883D54">
      <w:pPr>
        <w:widowControl w:val="0"/>
        <w:autoSpaceDE w:val="0"/>
        <w:autoSpaceDN w:val="0"/>
        <w:adjustRightInd w:val="0"/>
        <w:spacing w:line="360" w:lineRule="auto"/>
      </w:pPr>
      <w:r w:rsidRPr="00883D54">
        <w:lastRenderedPageBreak/>
        <w:t xml:space="preserve">Bibliography: </w:t>
      </w:r>
    </w:p>
    <w:p w14:paraId="479C95D3" w14:textId="77777777" w:rsidR="00F438B9" w:rsidRPr="00883D54" w:rsidRDefault="00F438B9" w:rsidP="00883D54">
      <w:pPr>
        <w:widowControl w:val="0"/>
        <w:autoSpaceDE w:val="0"/>
        <w:autoSpaceDN w:val="0"/>
        <w:adjustRightInd w:val="0"/>
        <w:spacing w:line="360" w:lineRule="auto"/>
      </w:pPr>
    </w:p>
    <w:p w14:paraId="19D39BFC" w14:textId="7C6AA52A" w:rsidR="00F438B9" w:rsidRPr="00883D54" w:rsidRDefault="00F438B9" w:rsidP="00883D54">
      <w:pPr>
        <w:pStyle w:val="ListParagraph"/>
        <w:widowControl w:val="0"/>
        <w:numPr>
          <w:ilvl w:val="0"/>
          <w:numId w:val="1"/>
        </w:numPr>
        <w:autoSpaceDE w:val="0"/>
        <w:autoSpaceDN w:val="0"/>
        <w:adjustRightInd w:val="0"/>
        <w:spacing w:line="360" w:lineRule="auto"/>
        <w:rPr>
          <w:rFonts w:ascii="Calibri" w:eastAsia="Times New Roman" w:hAnsi="Calibri" w:cs="Times New Roman"/>
          <w:noProof/>
        </w:rPr>
      </w:pPr>
      <w:r w:rsidRPr="00883D54">
        <w:rPr>
          <w:rFonts w:ascii="Calibri" w:eastAsia="Times New Roman" w:hAnsi="Calibri" w:cs="Times New Roman"/>
          <w:noProof/>
        </w:rPr>
        <w:t xml:space="preserve">Naidoo K. Poverty and blindness in Africa. </w:t>
      </w:r>
      <w:r w:rsidRPr="00883D54">
        <w:rPr>
          <w:rFonts w:ascii="Calibri" w:eastAsia="Times New Roman" w:hAnsi="Calibri" w:cs="Times New Roman"/>
          <w:i/>
          <w:iCs/>
          <w:noProof/>
        </w:rPr>
        <w:t>Clin Exp Optom</w:t>
      </w:r>
      <w:r w:rsidRPr="00883D54">
        <w:rPr>
          <w:rFonts w:ascii="Calibri" w:eastAsia="Times New Roman" w:hAnsi="Calibri" w:cs="Times New Roman"/>
          <w:noProof/>
        </w:rPr>
        <w:t>. 2007;90(6):415-421. doi:10.1111/j.1444-0938.2007.00197.</w:t>
      </w:r>
    </w:p>
    <w:p w14:paraId="1270EF4D" w14:textId="5309210C" w:rsidR="00F438B9" w:rsidRPr="00883D54" w:rsidRDefault="00F438B9" w:rsidP="00883D54">
      <w:pPr>
        <w:pStyle w:val="ListParagraph"/>
        <w:widowControl w:val="0"/>
        <w:numPr>
          <w:ilvl w:val="0"/>
          <w:numId w:val="1"/>
        </w:numPr>
        <w:autoSpaceDE w:val="0"/>
        <w:autoSpaceDN w:val="0"/>
        <w:adjustRightInd w:val="0"/>
        <w:spacing w:line="360" w:lineRule="auto"/>
      </w:pPr>
      <w:r w:rsidRPr="00883D54">
        <w:rPr>
          <w:rFonts w:ascii="Calibri" w:eastAsia="Times New Roman" w:hAnsi="Calibri" w:cs="Times New Roman"/>
          <w:noProof/>
        </w:rPr>
        <w:t xml:space="preserve">Pastakia SD, Nuche-Berenguer B, Pekny CR, et al. Retrospective assessment of the quality of diabetes care in a rural diabetes clinic in Western Kenya. </w:t>
      </w:r>
      <w:r w:rsidRPr="00883D54">
        <w:rPr>
          <w:rFonts w:ascii="Calibri" w:eastAsia="Times New Roman" w:hAnsi="Calibri" w:cs="Times New Roman"/>
          <w:i/>
          <w:iCs/>
          <w:noProof/>
        </w:rPr>
        <w:t>BMC Endocr Disord</w:t>
      </w:r>
      <w:r w:rsidRPr="00883D54">
        <w:rPr>
          <w:rFonts w:ascii="Calibri" w:eastAsia="Times New Roman" w:hAnsi="Calibri" w:cs="Times New Roman"/>
          <w:noProof/>
        </w:rPr>
        <w:t>. 2018;18(1):97. doi:10.1186/s12902-018-0324-5</w:t>
      </w:r>
    </w:p>
    <w:p w14:paraId="6DA33380" w14:textId="28FB9CFA" w:rsidR="00F438B9" w:rsidRPr="00883D54" w:rsidRDefault="00F438B9" w:rsidP="00883D54">
      <w:pPr>
        <w:pStyle w:val="ListParagraph"/>
        <w:widowControl w:val="0"/>
        <w:numPr>
          <w:ilvl w:val="0"/>
          <w:numId w:val="1"/>
        </w:numPr>
        <w:autoSpaceDE w:val="0"/>
        <w:autoSpaceDN w:val="0"/>
        <w:adjustRightInd w:val="0"/>
        <w:spacing w:line="360" w:lineRule="auto"/>
      </w:pPr>
      <w:r w:rsidRPr="00883D54">
        <w:rPr>
          <w:rFonts w:ascii="Calibri" w:eastAsia="Times New Roman" w:hAnsi="Calibri" w:cs="Times New Roman"/>
          <w:noProof/>
        </w:rPr>
        <w:t xml:space="preserve">Mwangi N, Gachago M, Gichangi M, et al. Adapting clinical practice guidelines for diabetic retinopathy in Kenya: process and outputs. </w:t>
      </w:r>
      <w:r w:rsidRPr="00883D54">
        <w:rPr>
          <w:rFonts w:ascii="Calibri" w:eastAsia="Times New Roman" w:hAnsi="Calibri" w:cs="Times New Roman"/>
          <w:i/>
          <w:iCs/>
          <w:noProof/>
        </w:rPr>
        <w:t>Implement Sci</w:t>
      </w:r>
      <w:r w:rsidRPr="00883D54">
        <w:rPr>
          <w:rFonts w:ascii="Calibri" w:eastAsia="Times New Roman" w:hAnsi="Calibri" w:cs="Times New Roman"/>
          <w:noProof/>
        </w:rPr>
        <w:t>. 2018;13(1):81. doi:10.1186/s13012-018-0773-2</w:t>
      </w:r>
    </w:p>
    <w:p w14:paraId="2D2ADADE" w14:textId="6A1B37D2" w:rsidR="00883D54" w:rsidRPr="00883D54" w:rsidRDefault="00F438B9" w:rsidP="00883D54">
      <w:pPr>
        <w:pStyle w:val="ListParagraph"/>
        <w:widowControl w:val="0"/>
        <w:numPr>
          <w:ilvl w:val="0"/>
          <w:numId w:val="1"/>
        </w:numPr>
        <w:autoSpaceDE w:val="0"/>
        <w:autoSpaceDN w:val="0"/>
        <w:adjustRightInd w:val="0"/>
        <w:spacing w:line="360" w:lineRule="auto"/>
      </w:pPr>
      <w:r w:rsidRPr="00883D54">
        <w:rPr>
          <w:rFonts w:ascii="Calibri" w:eastAsia="Times New Roman" w:hAnsi="Calibri" w:cs="Times New Roman"/>
          <w:noProof/>
        </w:rPr>
        <w:t xml:space="preserve">Bowe T, Nyamai L, Ademola-Popoola D, et al. The current state of retinopathy of prematurity in India, Kenya, Mexico, Nigeria, Philippines, Romania, Thailand, and Venezuela. </w:t>
      </w:r>
      <w:r w:rsidRPr="00883D54">
        <w:rPr>
          <w:rFonts w:ascii="Calibri" w:eastAsia="Times New Roman" w:hAnsi="Calibri" w:cs="Times New Roman"/>
          <w:i/>
          <w:iCs/>
          <w:noProof/>
        </w:rPr>
        <w:t>Digit J Ophthalmol  DJO</w:t>
      </w:r>
      <w:r w:rsidRPr="00883D54">
        <w:rPr>
          <w:rFonts w:ascii="Calibri" w:eastAsia="Times New Roman" w:hAnsi="Calibri" w:cs="Times New Roman"/>
          <w:noProof/>
        </w:rPr>
        <w:t>. 2019;25(4):49-58. doi:10.5693/djo.01.2019.08.002</w:t>
      </w:r>
      <w:r w:rsidR="00883D54" w:rsidRPr="00883D54">
        <w:fldChar w:fldCharType="begin" w:fldLock="1"/>
      </w:r>
      <w:r w:rsidR="00883D54" w:rsidRPr="00883D54">
        <w:instrText xml:space="preserve">ADDIN Mendeley Bibliography CSL_BIBLIOGRAPHY </w:instrText>
      </w:r>
      <w:r w:rsidR="00883D54" w:rsidRPr="00883D54">
        <w:fldChar w:fldCharType="separate"/>
      </w:r>
    </w:p>
    <w:p w14:paraId="601B47F2" w14:textId="6A5DC064" w:rsidR="00883D54" w:rsidRPr="00883D54" w:rsidRDefault="00883D54" w:rsidP="00883D54">
      <w:pPr>
        <w:widowControl w:val="0"/>
        <w:autoSpaceDE w:val="0"/>
        <w:autoSpaceDN w:val="0"/>
        <w:adjustRightInd w:val="0"/>
        <w:spacing w:line="360" w:lineRule="auto"/>
        <w:ind w:left="640" w:hanging="280"/>
        <w:rPr>
          <w:rFonts w:ascii="Calibri" w:hAnsi="Calibri" w:cs="Calibri"/>
          <w:noProof/>
        </w:rPr>
      </w:pPr>
      <w:r w:rsidRPr="00883D54">
        <w:rPr>
          <w:rFonts w:ascii="Calibri" w:hAnsi="Calibri" w:cs="Calibri"/>
          <w:noProof/>
        </w:rPr>
        <w:t>5.  World Bank. Poverty Incidence in Kenya Declined Significantly, but Unlikely to be Eradicated by 2030. https://www.worldbank.org/en/country/kenya/publication/kenya-economic-update-poverty-incidence-in-kenya-declined-significantly-but-unlikely-to-be-eradicated-by-2030.</w:t>
      </w:r>
    </w:p>
    <w:p w14:paraId="6528720E" w14:textId="5BAC6684" w:rsidR="00883D54" w:rsidRPr="00883D54" w:rsidRDefault="00883D54" w:rsidP="00883D54">
      <w:pPr>
        <w:widowControl w:val="0"/>
        <w:autoSpaceDE w:val="0"/>
        <w:autoSpaceDN w:val="0"/>
        <w:adjustRightInd w:val="0"/>
        <w:spacing w:line="360" w:lineRule="auto"/>
        <w:ind w:left="640" w:hanging="280"/>
        <w:rPr>
          <w:rFonts w:ascii="Calibri" w:hAnsi="Calibri" w:cs="Calibri"/>
          <w:noProof/>
        </w:rPr>
      </w:pPr>
    </w:p>
    <w:p w14:paraId="7FE5B136" w14:textId="29CC6DF6" w:rsidR="00883D54" w:rsidRPr="00883D54" w:rsidRDefault="00883D54" w:rsidP="00883D54">
      <w:pPr>
        <w:widowControl w:val="0"/>
        <w:autoSpaceDE w:val="0"/>
        <w:autoSpaceDN w:val="0"/>
        <w:adjustRightInd w:val="0"/>
        <w:spacing w:line="360" w:lineRule="auto"/>
        <w:ind w:left="640" w:hanging="280"/>
        <w:rPr>
          <w:rFonts w:ascii="Calibri" w:hAnsi="Calibri" w:cs="Calibri"/>
          <w:noProof/>
        </w:rPr>
      </w:pPr>
    </w:p>
    <w:p w14:paraId="22A34E43" w14:textId="6DFE1649" w:rsidR="00883D54" w:rsidRPr="00883D54" w:rsidRDefault="00883D54" w:rsidP="00883D54">
      <w:pPr>
        <w:widowControl w:val="0"/>
        <w:autoSpaceDE w:val="0"/>
        <w:autoSpaceDN w:val="0"/>
        <w:adjustRightInd w:val="0"/>
        <w:spacing w:line="360" w:lineRule="auto"/>
        <w:ind w:left="640" w:hanging="280"/>
        <w:rPr>
          <w:rFonts w:ascii="Calibri" w:hAnsi="Calibri" w:cs="Calibri"/>
          <w:noProof/>
        </w:rPr>
      </w:pPr>
    </w:p>
    <w:p w14:paraId="47A9E654" w14:textId="77777777" w:rsidR="00883D54" w:rsidRPr="00883D54" w:rsidRDefault="00883D54" w:rsidP="00883D54">
      <w:pPr>
        <w:widowControl w:val="0"/>
        <w:autoSpaceDE w:val="0"/>
        <w:autoSpaceDN w:val="0"/>
        <w:adjustRightInd w:val="0"/>
        <w:spacing w:line="360" w:lineRule="auto"/>
        <w:ind w:left="640" w:hanging="280"/>
        <w:rPr>
          <w:rFonts w:ascii="Calibri" w:hAnsi="Calibri" w:cs="Calibri"/>
          <w:noProof/>
        </w:rPr>
      </w:pPr>
    </w:p>
    <w:p w14:paraId="557A699C" w14:textId="11A3EBD4" w:rsidR="00883D54" w:rsidRDefault="00883D54" w:rsidP="00883D54">
      <w:pPr>
        <w:widowControl w:val="0"/>
        <w:autoSpaceDE w:val="0"/>
        <w:autoSpaceDN w:val="0"/>
        <w:adjustRightInd w:val="0"/>
        <w:spacing w:line="360" w:lineRule="auto"/>
      </w:pPr>
      <w:r w:rsidRPr="00883D54">
        <w:fldChar w:fldCharType="end"/>
      </w:r>
    </w:p>
    <w:p w14:paraId="23B8637B" w14:textId="77777777" w:rsidR="00767FAD" w:rsidRDefault="00767FAD" w:rsidP="00AC1BFF">
      <w:pPr>
        <w:spacing w:line="360" w:lineRule="auto"/>
      </w:pPr>
    </w:p>
    <w:p w14:paraId="73CD1975" w14:textId="77777777" w:rsidR="00BE6A55" w:rsidRDefault="00BE6A55" w:rsidP="00AC1BFF">
      <w:pPr>
        <w:spacing w:line="360" w:lineRule="auto"/>
      </w:pPr>
    </w:p>
    <w:p w14:paraId="1E568B0D" w14:textId="77777777" w:rsidR="00AC1BFF" w:rsidRDefault="00AC1BFF" w:rsidP="00AC1BFF">
      <w:pPr>
        <w:spacing w:line="360" w:lineRule="auto"/>
      </w:pPr>
    </w:p>
    <w:p w14:paraId="79213AC6" w14:textId="77777777" w:rsidR="00AC1BFF" w:rsidRDefault="00AC1BFF" w:rsidP="00AC1BFF">
      <w:pPr>
        <w:spacing w:line="360" w:lineRule="auto"/>
      </w:pPr>
    </w:p>
    <w:p w14:paraId="0AD8C1F5" w14:textId="77777777" w:rsidR="00AC1BFF" w:rsidRDefault="00AC1BFF" w:rsidP="00AC1BFF">
      <w:pPr>
        <w:spacing w:line="360" w:lineRule="auto"/>
        <w:ind w:firstLine="720"/>
      </w:pPr>
    </w:p>
    <w:sectPr w:rsidR="00AC1BFF" w:rsidSect="000D19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234D6"/>
    <w:multiLevelType w:val="hybridMultilevel"/>
    <w:tmpl w:val="7F3C7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3AB"/>
    <w:rsid w:val="000A568A"/>
    <w:rsid w:val="000D19A7"/>
    <w:rsid w:val="001576C7"/>
    <w:rsid w:val="00334ED3"/>
    <w:rsid w:val="00494260"/>
    <w:rsid w:val="00765D3E"/>
    <w:rsid w:val="00767FAD"/>
    <w:rsid w:val="007724EF"/>
    <w:rsid w:val="00856D9A"/>
    <w:rsid w:val="00883D54"/>
    <w:rsid w:val="008B13AB"/>
    <w:rsid w:val="009A56B9"/>
    <w:rsid w:val="00A31455"/>
    <w:rsid w:val="00AC1BFF"/>
    <w:rsid w:val="00B32BA3"/>
    <w:rsid w:val="00BB7F09"/>
    <w:rsid w:val="00BE6A55"/>
    <w:rsid w:val="00C43A93"/>
    <w:rsid w:val="00CC63B6"/>
    <w:rsid w:val="00D04D44"/>
    <w:rsid w:val="00E63B1F"/>
    <w:rsid w:val="00E763D5"/>
    <w:rsid w:val="00F43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73F8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8B9"/>
    <w:pPr>
      <w:ind w:left="720"/>
      <w:contextualSpacing/>
    </w:pPr>
  </w:style>
  <w:style w:type="character" w:styleId="Hyperlink">
    <w:name w:val="Hyperlink"/>
    <w:basedOn w:val="DefaultParagraphFont"/>
    <w:uiPriority w:val="99"/>
    <w:semiHidden/>
    <w:unhideWhenUsed/>
    <w:rsid w:val="00883D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4204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26B338-19E7-6B44-9AB3-08820C8A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1104</Words>
  <Characters>6297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Ahlers, Carolyn G</cp:lastModifiedBy>
  <cp:revision>7</cp:revision>
  <dcterms:created xsi:type="dcterms:W3CDTF">2020-03-31T17:57:00Z</dcterms:created>
  <dcterms:modified xsi:type="dcterms:W3CDTF">2020-04-13T03:12:00Z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http://www.zotero.org/styles/american-journal-of-ophthalmology</vt:lpwstr>
  </property>
  <property fmtid="{D5CDD505-2E9C-101B-9397-08002B2CF9AE}" pid="3" name="Mendeley Recent Style Name 0_1">
    <vt:lpwstr>American Journal of Ophthalmology</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49fc6dec-cdba-3c30-8d25-87906688c40a</vt:lpwstr>
  </property>
  <property fmtid="{D5CDD505-2E9C-101B-9397-08002B2CF9AE}" pid="24" name="Mendeley Citation Style_1">
    <vt:lpwstr>http://www.zotero.org/styles/american-medical-association</vt:lpwstr>
  </property>
</Properties>
</file>